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D09DB" w14:textId="0568963F" w:rsidR="0037056B" w:rsidRPr="00090BA0" w:rsidRDefault="00E33144" w:rsidP="3B00EFE5">
      <w:pPr>
        <w:shd w:val="clear" w:color="auto" w:fill="FFFFFF" w:themeFill="background1"/>
        <w:spacing w:after="0" w:line="240" w:lineRule="auto"/>
        <w:outlineLvl w:val="1"/>
        <w:rPr>
          <w:rFonts w:ascii="Georgia" w:eastAsia="Times New Roman" w:hAnsi="Georgia" w:cs="Arial"/>
          <w:b/>
          <w:bCs/>
          <w:color w:val="222222"/>
          <w:sz w:val="40"/>
          <w:szCs w:val="40"/>
        </w:rPr>
      </w:pPr>
      <w:r>
        <w:rPr>
          <w:rFonts w:ascii="Georgia" w:eastAsia="Times New Roman" w:hAnsi="Georgia" w:cs="Arial"/>
          <w:b/>
          <w:bCs/>
          <w:noProof/>
          <w:color w:val="222222"/>
          <w:kern w:val="0"/>
          <w:sz w:val="40"/>
          <w:szCs w:val="40"/>
        </w:rPr>
        <w:drawing>
          <wp:anchor distT="0" distB="0" distL="114300" distR="114300" simplePos="0" relativeHeight="251658240" behindDoc="1" locked="0" layoutInCell="1" allowOverlap="1" wp14:anchorId="30C7E3CD" wp14:editId="18B089DB">
            <wp:simplePos x="0" y="0"/>
            <wp:positionH relativeFrom="column">
              <wp:posOffset>1801495</wp:posOffset>
            </wp:positionH>
            <wp:positionV relativeFrom="paragraph">
              <wp:posOffset>176</wp:posOffset>
            </wp:positionV>
            <wp:extent cx="1945005" cy="1945005"/>
            <wp:effectExtent l="0" t="0" r="0" b="0"/>
            <wp:wrapTight wrapText="bothSides">
              <wp:wrapPolygon edited="0">
                <wp:start x="5783" y="7239"/>
                <wp:lineTo x="5218" y="10270"/>
                <wp:lineTo x="4936" y="13637"/>
                <wp:lineTo x="8321" y="14142"/>
                <wp:lineTo x="9167" y="14142"/>
                <wp:lineTo x="13540" y="13468"/>
                <wp:lineTo x="13822" y="12963"/>
                <wp:lineTo x="16501" y="10775"/>
                <wp:lineTo x="16501" y="7239"/>
                <wp:lineTo x="5783" y="7239"/>
              </wp:wrapPolygon>
            </wp:wrapTight>
            <wp:docPr id="651527782" name="Picture 1"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27782" name="Picture 1" descr="A blue and red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5005" cy="1945005"/>
                    </a:xfrm>
                    <a:prstGeom prst="rect">
                      <a:avLst/>
                    </a:prstGeom>
                  </pic:spPr>
                </pic:pic>
              </a:graphicData>
            </a:graphic>
            <wp14:sizeRelH relativeFrom="page">
              <wp14:pctWidth>0</wp14:pctWidth>
            </wp14:sizeRelH>
            <wp14:sizeRelV relativeFrom="page">
              <wp14:pctHeight>0</wp14:pctHeight>
            </wp14:sizeRelV>
          </wp:anchor>
        </w:drawing>
      </w:r>
    </w:p>
    <w:p w14:paraId="0DB5011A" w14:textId="77777777" w:rsidR="00B87A58" w:rsidRDefault="00B87A58" w:rsidP="0037056B">
      <w:pPr>
        <w:pStyle w:val="Header"/>
        <w:rPr>
          <w:rFonts w:ascii="Georgia" w:hAnsi="Georgia" w:cs="Arial"/>
          <w:b/>
          <w:bCs/>
          <w:color w:val="222222"/>
          <w:sz w:val="36"/>
          <w:szCs w:val="36"/>
        </w:rPr>
      </w:pPr>
    </w:p>
    <w:p w14:paraId="4EB22A9B" w14:textId="1243D719" w:rsidR="00B87A58" w:rsidRPr="00767E8F" w:rsidRDefault="00966160" w:rsidP="00E33144">
      <w:pPr>
        <w:pStyle w:val="Header"/>
        <w:rPr>
          <w:rFonts w:ascii="Georgia" w:hAnsi="Georgia" w:cs="Arial"/>
          <w:b/>
          <w:bCs/>
          <w:color w:val="222222"/>
          <w:sz w:val="36"/>
          <w:szCs w:val="36"/>
        </w:rPr>
      </w:pPr>
      <w:r>
        <w:rPr>
          <w:rFonts w:ascii="Georgia" w:hAnsi="Georgia" w:cs="Arial"/>
          <w:b/>
          <w:bCs/>
          <w:color w:val="222222"/>
          <w:sz w:val="36"/>
          <w:szCs w:val="36"/>
        </w:rPr>
        <w:t xml:space="preserve">                                         </w:t>
      </w:r>
    </w:p>
    <w:p w14:paraId="736F92C0" w14:textId="77777777" w:rsidR="00966160" w:rsidRDefault="00966160" w:rsidP="00891891">
      <w:pPr>
        <w:pStyle w:val="Header"/>
        <w:jc w:val="center"/>
        <w:rPr>
          <w:rFonts w:ascii="Georgia" w:hAnsi="Georgia" w:cs="Arial"/>
          <w:b/>
          <w:bCs/>
          <w:color w:val="222222"/>
          <w:sz w:val="40"/>
          <w:szCs w:val="40"/>
        </w:rPr>
      </w:pPr>
    </w:p>
    <w:p w14:paraId="1A05AC27" w14:textId="77777777" w:rsidR="00966160" w:rsidRDefault="00966160" w:rsidP="00891891">
      <w:pPr>
        <w:pStyle w:val="Header"/>
        <w:jc w:val="center"/>
        <w:rPr>
          <w:rFonts w:ascii="Georgia" w:hAnsi="Georgia" w:cs="Arial"/>
          <w:b/>
          <w:bCs/>
          <w:color w:val="222222"/>
          <w:sz w:val="40"/>
          <w:szCs w:val="40"/>
        </w:rPr>
      </w:pPr>
    </w:p>
    <w:p w14:paraId="5941F1DC" w14:textId="1A5DC2C4" w:rsidR="00B87A58" w:rsidRPr="006519CD" w:rsidRDefault="00B87A58" w:rsidP="00891891">
      <w:pPr>
        <w:pStyle w:val="Header"/>
        <w:jc w:val="center"/>
        <w:rPr>
          <w:rFonts w:ascii="Georgia" w:hAnsi="Georgia" w:cs="Tahoma"/>
          <w:b/>
          <w:bCs/>
          <w:sz w:val="28"/>
          <w:szCs w:val="28"/>
        </w:rPr>
      </w:pPr>
      <w:r w:rsidRPr="006519CD">
        <w:rPr>
          <w:rFonts w:ascii="Georgia" w:hAnsi="Georgia" w:cs="Arial"/>
          <w:b/>
          <w:bCs/>
          <w:color w:val="222222"/>
          <w:sz w:val="44"/>
          <w:szCs w:val="44"/>
        </w:rPr>
        <w:t>MEDIA ADVISORY</w:t>
      </w:r>
    </w:p>
    <w:p w14:paraId="5EF1DDAF" w14:textId="77777777" w:rsidR="00B87A58" w:rsidRDefault="00B87A58" w:rsidP="00E33144">
      <w:pPr>
        <w:pStyle w:val="Header"/>
        <w:rPr>
          <w:rFonts w:ascii="Georgia" w:hAnsi="Georgia" w:cs="Tahoma"/>
          <w:b/>
          <w:bCs/>
          <w:szCs w:val="24"/>
        </w:rPr>
      </w:pPr>
    </w:p>
    <w:p w14:paraId="08EE0280" w14:textId="71997DF7" w:rsidR="00B87A58" w:rsidRDefault="0092447A" w:rsidP="0092447A">
      <w:pPr>
        <w:pStyle w:val="Header"/>
        <w:jc w:val="center"/>
        <w:rPr>
          <w:rFonts w:ascii="Georgia" w:hAnsi="Georgia" w:cs="Arial"/>
          <w:b/>
          <w:bCs/>
          <w:color w:val="222222"/>
          <w:sz w:val="40"/>
          <w:szCs w:val="40"/>
        </w:rPr>
      </w:pPr>
      <w:r w:rsidRPr="0092447A">
        <w:rPr>
          <w:rFonts w:ascii="Georgia" w:hAnsi="Georgia" w:cs="Arial"/>
          <w:b/>
          <w:bCs/>
          <w:color w:val="222222"/>
          <w:sz w:val="40"/>
          <w:szCs w:val="40"/>
        </w:rPr>
        <w:t>Court Schedules First Hearing in DOJ Lawsuit Demanding Maryland Voter Data</w:t>
      </w:r>
    </w:p>
    <w:p w14:paraId="2747E25A" w14:textId="77777777" w:rsidR="0092447A" w:rsidRDefault="0092447A" w:rsidP="00E33144">
      <w:pPr>
        <w:pStyle w:val="Header"/>
        <w:rPr>
          <w:rFonts w:ascii="Georgia" w:hAnsi="Georgia" w:cs="Tahoma"/>
          <w:b/>
          <w:bCs/>
          <w:szCs w:val="24"/>
        </w:rPr>
      </w:pPr>
    </w:p>
    <w:p w14:paraId="3DDDEF84" w14:textId="77777777" w:rsidR="00B8161D" w:rsidRDefault="00B8161D" w:rsidP="00B8161D">
      <w:pPr>
        <w:pStyle w:val="Header"/>
        <w:rPr>
          <w:rFonts w:ascii="Georgia" w:hAnsi="Georgia" w:cs="Tahoma"/>
          <w:szCs w:val="24"/>
        </w:rPr>
      </w:pPr>
      <w:hyperlink r:id="rId6" w:history="1">
        <w:r w:rsidRPr="00D050EA">
          <w:rPr>
            <w:rStyle w:val="Hyperlink"/>
            <w:rFonts w:ascii="Georgia" w:hAnsi="Georgia" w:cs="Tahoma"/>
            <w:szCs w:val="24"/>
          </w:rPr>
          <w:t>https://www.aclu-md.org/press-releases/court-schedules-first-hearing-in-doj-lawsuit-demanding-maryland-voter-data/</w:t>
        </w:r>
      </w:hyperlink>
    </w:p>
    <w:p w14:paraId="59A8DAC7" w14:textId="77777777" w:rsidR="00B8161D" w:rsidRDefault="00B8161D" w:rsidP="00E33144">
      <w:pPr>
        <w:pStyle w:val="Header"/>
        <w:rPr>
          <w:rFonts w:ascii="Georgia" w:hAnsi="Georgia" w:cs="Tahoma"/>
          <w:b/>
          <w:bCs/>
          <w:szCs w:val="24"/>
        </w:rPr>
      </w:pPr>
    </w:p>
    <w:p w14:paraId="474906C0" w14:textId="2C178C66" w:rsidR="00E33144" w:rsidRDefault="00E33144" w:rsidP="00E33144">
      <w:pPr>
        <w:pStyle w:val="Header"/>
        <w:rPr>
          <w:rFonts w:ascii="Georgia" w:hAnsi="Georgia" w:cs="Tahoma"/>
          <w:szCs w:val="24"/>
        </w:rPr>
      </w:pPr>
      <w:r w:rsidRPr="00336648">
        <w:rPr>
          <w:rFonts w:ascii="Georgia" w:hAnsi="Georgia" w:cs="Tahoma"/>
          <w:b/>
          <w:bCs/>
          <w:szCs w:val="24"/>
        </w:rPr>
        <w:t>Advisory for</w:t>
      </w:r>
      <w:r w:rsidR="005B018F">
        <w:rPr>
          <w:rFonts w:ascii="Georgia" w:hAnsi="Georgia" w:cs="Tahoma"/>
          <w:b/>
          <w:bCs/>
          <w:szCs w:val="24"/>
        </w:rPr>
        <w:t xml:space="preserve">: </w:t>
      </w:r>
      <w:r w:rsidR="00BB09D5">
        <w:rPr>
          <w:rFonts w:ascii="Georgia" w:hAnsi="Georgia" w:cs="Tahoma"/>
          <w:szCs w:val="24"/>
        </w:rPr>
        <w:t>10</w:t>
      </w:r>
      <w:r w:rsidR="00DC59E9">
        <w:rPr>
          <w:rFonts w:ascii="Georgia" w:hAnsi="Georgia" w:cs="Tahoma"/>
          <w:szCs w:val="24"/>
        </w:rPr>
        <w:t>:00</w:t>
      </w:r>
      <w:r w:rsidR="00DC59E9" w:rsidRPr="00DC59E9">
        <w:rPr>
          <w:rFonts w:ascii="Georgia" w:hAnsi="Georgia" w:cs="Tahoma"/>
          <w:szCs w:val="24"/>
        </w:rPr>
        <w:t>am</w:t>
      </w:r>
      <w:r w:rsidR="00DC59E9">
        <w:rPr>
          <w:rFonts w:ascii="Georgia" w:hAnsi="Georgia" w:cs="Tahoma"/>
          <w:szCs w:val="24"/>
        </w:rPr>
        <w:t xml:space="preserve"> Wednesday</w:t>
      </w:r>
      <w:r w:rsidR="00A640BB">
        <w:rPr>
          <w:rFonts w:ascii="Georgia" w:hAnsi="Georgia" w:cs="Tahoma"/>
          <w:szCs w:val="24"/>
        </w:rPr>
        <w:t xml:space="preserve">, </w:t>
      </w:r>
      <w:r w:rsidR="00BB09D5">
        <w:rPr>
          <w:rFonts w:ascii="Georgia" w:hAnsi="Georgia" w:cs="Tahoma"/>
          <w:szCs w:val="24"/>
        </w:rPr>
        <w:t>June</w:t>
      </w:r>
      <w:r w:rsidR="00DC59E9">
        <w:rPr>
          <w:rFonts w:ascii="Georgia" w:hAnsi="Georgia" w:cs="Tahoma"/>
          <w:szCs w:val="24"/>
        </w:rPr>
        <w:t xml:space="preserve"> </w:t>
      </w:r>
      <w:r w:rsidR="00BB09D5">
        <w:rPr>
          <w:rFonts w:ascii="Georgia" w:hAnsi="Georgia" w:cs="Tahoma"/>
          <w:szCs w:val="24"/>
        </w:rPr>
        <w:t>10</w:t>
      </w:r>
      <w:r w:rsidRPr="002A7C4E">
        <w:rPr>
          <w:rFonts w:ascii="Georgia" w:hAnsi="Georgia" w:cs="Tahoma"/>
          <w:szCs w:val="24"/>
        </w:rPr>
        <w:t>, 202</w:t>
      </w:r>
      <w:r>
        <w:rPr>
          <w:rFonts w:ascii="Georgia" w:hAnsi="Georgia" w:cs="Tahoma"/>
          <w:szCs w:val="24"/>
        </w:rPr>
        <w:t>6</w:t>
      </w:r>
    </w:p>
    <w:p w14:paraId="13F963A3" w14:textId="77777777" w:rsidR="00BB09D5" w:rsidRDefault="00BB09D5" w:rsidP="00E33144">
      <w:pPr>
        <w:pStyle w:val="Header"/>
        <w:rPr>
          <w:rFonts w:ascii="Georgia" w:hAnsi="Georgia" w:cs="Tahoma"/>
          <w:szCs w:val="24"/>
        </w:rPr>
      </w:pPr>
    </w:p>
    <w:p w14:paraId="00C35DF9" w14:textId="77777777" w:rsidR="00BB09D5" w:rsidRDefault="3B00EFE5" w:rsidP="3B00EFE5">
      <w:pPr>
        <w:pStyle w:val="NormalWeb"/>
        <w:spacing w:before="0" w:beforeAutospacing="0" w:after="0" w:afterAutospacing="0"/>
        <w:rPr>
          <w:rFonts w:ascii="Georgia" w:hAnsi="Georgia" w:cs="Arial"/>
          <w:b/>
          <w:bCs/>
          <w:color w:val="222222"/>
        </w:rPr>
      </w:pPr>
      <w:r w:rsidRPr="3B00EFE5">
        <w:rPr>
          <w:rFonts w:ascii="Georgia" w:hAnsi="Georgia" w:cs="Arial"/>
          <w:b/>
          <w:bCs/>
          <w:color w:val="222222"/>
        </w:rPr>
        <w:t xml:space="preserve">Contact: </w:t>
      </w:r>
    </w:p>
    <w:p w14:paraId="623F6E40" w14:textId="76ADB345" w:rsidR="00C24E60" w:rsidRDefault="00BB09D5" w:rsidP="3B00EFE5">
      <w:pPr>
        <w:pStyle w:val="NormalWeb"/>
        <w:spacing w:before="0" w:beforeAutospacing="0" w:after="0" w:afterAutospacing="0"/>
        <w:rPr>
          <w:rStyle w:val="Hyperlink"/>
          <w:rFonts w:ascii="Georgia" w:eastAsiaTheme="majorEastAsia" w:hAnsi="Georgia" w:cs="Arial"/>
          <w:color w:val="1155CC"/>
        </w:rPr>
      </w:pPr>
      <w:r>
        <w:rPr>
          <w:rFonts w:ascii="Georgia" w:hAnsi="Georgia" w:cs="Arial"/>
          <w:color w:val="000000" w:themeColor="text1"/>
        </w:rPr>
        <w:t>ACLU MD,</w:t>
      </w:r>
      <w:r w:rsidR="3B00EFE5" w:rsidRPr="3B00EFE5">
        <w:rPr>
          <w:rFonts w:ascii="Georgia" w:hAnsi="Georgia" w:cs="Arial"/>
          <w:color w:val="000000" w:themeColor="text1"/>
        </w:rPr>
        <w:t xml:space="preserve"> </w:t>
      </w:r>
      <w:hyperlink r:id="rId7">
        <w:r w:rsidR="3B00EFE5" w:rsidRPr="3B00EFE5">
          <w:rPr>
            <w:rStyle w:val="Hyperlink"/>
            <w:rFonts w:ascii="Georgia" w:eastAsiaTheme="majorEastAsia" w:hAnsi="Georgia" w:cs="Arial"/>
            <w:color w:val="1155CC"/>
          </w:rPr>
          <w:t>media@aclu-md.org</w:t>
        </w:r>
      </w:hyperlink>
    </w:p>
    <w:p w14:paraId="2594441A" w14:textId="6637E837" w:rsidR="00BB09D5" w:rsidRDefault="00BB09D5" w:rsidP="3B00EFE5">
      <w:pPr>
        <w:pStyle w:val="NormalWeb"/>
        <w:spacing w:before="0" w:beforeAutospacing="0" w:after="0" w:afterAutospacing="0"/>
        <w:rPr>
          <w:rFonts w:ascii="Georgia" w:hAnsi="Georgia" w:cs="Arial"/>
          <w:color w:val="222222"/>
        </w:rPr>
      </w:pPr>
      <w:r w:rsidRPr="00BB09D5">
        <w:rPr>
          <w:rFonts w:ascii="Georgia" w:hAnsi="Georgia" w:cs="Arial"/>
          <w:color w:val="222222"/>
        </w:rPr>
        <w:t xml:space="preserve">Common Cause, </w:t>
      </w:r>
      <w:hyperlink r:id="rId8" w:history="1">
        <w:r w:rsidRPr="00D050EA">
          <w:rPr>
            <w:rStyle w:val="Hyperlink"/>
            <w:rFonts w:ascii="Georgia" w:hAnsi="Georgia" w:cs="Arial"/>
          </w:rPr>
          <w:t>mmajikas@commoncause.org</w:t>
        </w:r>
      </w:hyperlink>
    </w:p>
    <w:p w14:paraId="0FBAECED" w14:textId="77777777" w:rsidR="00BB09D5" w:rsidRDefault="00BB09D5" w:rsidP="3B00EFE5">
      <w:pPr>
        <w:pStyle w:val="NormalWeb"/>
        <w:spacing w:before="0" w:beforeAutospacing="0" w:after="0" w:afterAutospacing="0"/>
        <w:rPr>
          <w:rFonts w:ascii="Georgia" w:hAnsi="Georgia" w:cs="Arial"/>
          <w:color w:val="222222"/>
        </w:rPr>
      </w:pPr>
    </w:p>
    <w:p w14:paraId="2DC31420" w14:textId="3649F70A" w:rsidR="00BB09D5" w:rsidRDefault="00BB09D5" w:rsidP="00BB09D5">
      <w:pPr>
        <w:pStyle w:val="paragraph"/>
        <w:spacing w:before="0" w:beforeAutospacing="0" w:after="0" w:afterAutospacing="0"/>
        <w:textAlignment w:val="baseline"/>
        <w:rPr>
          <w:rStyle w:val="eop"/>
          <w:rFonts w:ascii="Georgia" w:eastAsiaTheme="majorEastAsia" w:hAnsi="Georgia" w:cs="Calibri"/>
          <w:color w:val="000000"/>
        </w:rPr>
      </w:pPr>
      <w:r w:rsidRPr="00BB09D5">
        <w:rPr>
          <w:rStyle w:val="normaltextrun"/>
          <w:rFonts w:ascii="Georgia" w:eastAsiaTheme="majorEastAsia" w:hAnsi="Georgia" w:cs="Calibri"/>
          <w:b/>
          <w:bCs/>
          <w:color w:val="000000"/>
        </w:rPr>
        <w:t>BALTIMORE, MD — On Wednesday, June 10</w:t>
      </w:r>
      <w:r w:rsidRPr="00BB09D5">
        <w:rPr>
          <w:rStyle w:val="normaltextrun"/>
          <w:rFonts w:ascii="Georgia" w:eastAsiaTheme="majorEastAsia" w:hAnsi="Georgia" w:cs="Calibri"/>
          <w:b/>
          <w:bCs/>
          <w:color w:val="000000" w:themeColor="text1"/>
        </w:rPr>
        <w:t>, </w:t>
      </w:r>
      <w:r w:rsidRPr="00BB09D5">
        <w:rPr>
          <w:rStyle w:val="normaltextrun"/>
          <w:rFonts w:ascii="Georgia" w:eastAsiaTheme="majorEastAsia" w:hAnsi="Georgia" w:cs="Calibri"/>
          <w:b/>
          <w:bCs/>
          <w:color w:val="000000"/>
        </w:rPr>
        <w:t>at 10 a.m.,</w:t>
      </w:r>
      <w:r w:rsidRPr="00BB09D5">
        <w:rPr>
          <w:rStyle w:val="normaltextrun"/>
          <w:rFonts w:ascii="Georgia" w:eastAsiaTheme="majorEastAsia" w:hAnsi="Georgia" w:cs="Calibri"/>
          <w:color w:val="000000"/>
        </w:rPr>
        <w:t> a federal court will hold the first hearing in</w:t>
      </w:r>
      <w:r w:rsidRPr="00BB09D5">
        <w:rPr>
          <w:rStyle w:val="normaltextrun"/>
          <w:rFonts w:ascii="Georgia" w:eastAsiaTheme="majorEastAsia" w:hAnsi="Georgia" w:cs="Calibri"/>
          <w:i/>
          <w:iCs/>
          <w:color w:val="000000"/>
        </w:rPr>
        <w:t> United States of America v. </w:t>
      </w:r>
      <w:proofErr w:type="spellStart"/>
      <w:r w:rsidRPr="00BB09D5">
        <w:rPr>
          <w:rStyle w:val="normaltextrun"/>
          <w:rFonts w:ascii="Georgia" w:eastAsiaTheme="majorEastAsia" w:hAnsi="Georgia" w:cs="Calibri"/>
          <w:i/>
          <w:iCs/>
          <w:color w:val="000000"/>
        </w:rPr>
        <w:t>Demarinis</w:t>
      </w:r>
      <w:proofErr w:type="spellEnd"/>
      <w:r w:rsidRPr="00BB09D5">
        <w:rPr>
          <w:rStyle w:val="normaltextrun"/>
          <w:rFonts w:ascii="Georgia" w:eastAsiaTheme="majorEastAsia" w:hAnsi="Georgia" w:cs="Calibri"/>
          <w:color w:val="000000"/>
        </w:rPr>
        <w:t>, a case centered on the U.S. Department of Justice’s (DOJ)’s demand for the personal data of all registered Maryland voters.</w:t>
      </w:r>
      <w:r w:rsidRPr="00BB09D5">
        <w:rPr>
          <w:rStyle w:val="eop"/>
          <w:rFonts w:ascii="Georgia" w:eastAsiaTheme="majorEastAsia" w:hAnsi="Georgia" w:cs="Calibri"/>
          <w:color w:val="000000"/>
        </w:rPr>
        <w:t> </w:t>
      </w:r>
    </w:p>
    <w:p w14:paraId="5704F986" w14:textId="77777777" w:rsidR="00BB09D5" w:rsidRPr="00BB09D5" w:rsidRDefault="00BB09D5" w:rsidP="00BB09D5">
      <w:pPr>
        <w:pStyle w:val="paragraph"/>
        <w:spacing w:before="0" w:beforeAutospacing="0" w:after="0" w:afterAutospacing="0"/>
        <w:textAlignment w:val="baseline"/>
        <w:rPr>
          <w:rFonts w:ascii="Georgia" w:hAnsi="Georgia" w:cs="Segoe UI"/>
          <w:sz w:val="18"/>
          <w:szCs w:val="18"/>
        </w:rPr>
      </w:pPr>
    </w:p>
    <w:p w14:paraId="2FE7DD2D" w14:textId="77777777" w:rsidR="00BB09D5" w:rsidRPr="00BB09D5" w:rsidRDefault="00BB09D5" w:rsidP="00BB09D5">
      <w:pPr>
        <w:pStyle w:val="paragraph"/>
        <w:spacing w:before="0" w:beforeAutospacing="0" w:after="0" w:afterAutospacing="0"/>
        <w:textAlignment w:val="baseline"/>
        <w:rPr>
          <w:rStyle w:val="eop"/>
          <w:rFonts w:ascii="Georgia" w:eastAsiaTheme="majorEastAsia" w:hAnsi="Georgia" w:cs="Calibri"/>
          <w:color w:val="000000"/>
        </w:rPr>
      </w:pPr>
      <w:r w:rsidRPr="00BB09D5">
        <w:rPr>
          <w:rStyle w:val="normaltextrun"/>
          <w:rFonts w:ascii="Georgia" w:eastAsiaTheme="majorEastAsia" w:hAnsi="Georgia" w:cs="Calibri"/>
          <w:color w:val="000000"/>
        </w:rPr>
        <w:t>A coalition of civil rights organizations—including Common Cause Maryland, Out for Justice, the ACLU National Voting Rights Project, and the ACLU of Maryland—alongside individual Maryland voters, </w:t>
      </w:r>
      <w:hyperlink r:id="rId9" w:tgtFrame="_blank" w:history="1">
        <w:r w:rsidRPr="00BB09D5">
          <w:rPr>
            <w:rStyle w:val="normaltextrun"/>
            <w:rFonts w:ascii="Georgia" w:eastAsiaTheme="majorEastAsia" w:hAnsi="Georgia" w:cs="Segoe UI"/>
            <w:color w:val="467886"/>
            <w:u w:val="single"/>
          </w:rPr>
          <w:t>filed a motion to intervene</w:t>
        </w:r>
      </w:hyperlink>
      <w:r w:rsidRPr="00BB09D5">
        <w:rPr>
          <w:rStyle w:val="normaltextrun"/>
          <w:rFonts w:ascii="Georgia" w:eastAsiaTheme="majorEastAsia" w:hAnsi="Georgia" w:cs="Calibri"/>
          <w:color w:val="000000"/>
        </w:rPr>
        <w:t> in the case to protect voter privacy and prevent potential disenfranchisement. </w:t>
      </w:r>
      <w:r w:rsidRPr="00BB09D5">
        <w:rPr>
          <w:rStyle w:val="eop"/>
          <w:rFonts w:ascii="Georgia" w:eastAsiaTheme="majorEastAsia" w:hAnsi="Georgia" w:cs="Calibri"/>
          <w:color w:val="000000"/>
        </w:rPr>
        <w:t> </w:t>
      </w:r>
    </w:p>
    <w:p w14:paraId="1B9205DB" w14:textId="77777777" w:rsidR="00BB09D5" w:rsidRPr="00BB09D5" w:rsidRDefault="00BB09D5" w:rsidP="00BB09D5">
      <w:pPr>
        <w:pStyle w:val="paragraph"/>
        <w:spacing w:before="0" w:beforeAutospacing="0" w:after="0" w:afterAutospacing="0"/>
        <w:textAlignment w:val="baseline"/>
        <w:rPr>
          <w:rFonts w:ascii="Georgia" w:hAnsi="Georgia" w:cs="Segoe UI"/>
          <w:sz w:val="18"/>
          <w:szCs w:val="18"/>
        </w:rPr>
      </w:pPr>
    </w:p>
    <w:p w14:paraId="6D1CE11C" w14:textId="6298833E" w:rsidR="00BB09D5" w:rsidRPr="00BB09D5" w:rsidRDefault="00BB09D5" w:rsidP="00BB09D5">
      <w:pPr>
        <w:pStyle w:val="paragraph"/>
        <w:spacing w:before="0" w:beforeAutospacing="0" w:after="0" w:afterAutospacing="0"/>
        <w:textAlignment w:val="baseline"/>
        <w:rPr>
          <w:rStyle w:val="eop"/>
          <w:rFonts w:ascii="Georgia" w:eastAsiaTheme="majorEastAsia" w:hAnsi="Georgia" w:cs="Calibri"/>
          <w:color w:val="222222"/>
        </w:rPr>
      </w:pPr>
      <w:r w:rsidRPr="00BB09D5">
        <w:rPr>
          <w:rStyle w:val="normaltextrun"/>
          <w:rFonts w:ascii="Georgia" w:eastAsiaTheme="majorEastAsia" w:hAnsi="Georgia" w:cs="Calibri"/>
          <w:b/>
          <w:bCs/>
          <w:color w:val="000000"/>
        </w:rPr>
        <w:t>WHAT:</w:t>
      </w:r>
      <w:r w:rsidRPr="00BB09D5">
        <w:rPr>
          <w:rStyle w:val="normaltextrun"/>
          <w:rFonts w:ascii="Georgia" w:eastAsiaTheme="majorEastAsia" w:hAnsi="Georgia" w:cs="Calibri"/>
          <w:color w:val="000000"/>
        </w:rPr>
        <w:t> A federal court hearing in </w:t>
      </w:r>
      <w:r w:rsidRPr="00BB09D5">
        <w:rPr>
          <w:rStyle w:val="normaltextrun"/>
          <w:rFonts w:ascii="Georgia" w:eastAsiaTheme="majorEastAsia" w:hAnsi="Georgia" w:cs="Calibri"/>
          <w:i/>
          <w:iCs/>
          <w:color w:val="000000"/>
        </w:rPr>
        <w:t>United States v. </w:t>
      </w:r>
      <w:proofErr w:type="spellStart"/>
      <w:r w:rsidRPr="00BB09D5">
        <w:rPr>
          <w:rStyle w:val="normaltextrun"/>
          <w:rFonts w:ascii="Georgia" w:eastAsiaTheme="majorEastAsia" w:hAnsi="Georgia" w:cs="Calibri"/>
          <w:i/>
          <w:iCs/>
          <w:color w:val="000000"/>
        </w:rPr>
        <w:t>Demarinis</w:t>
      </w:r>
      <w:proofErr w:type="spellEnd"/>
      <w:r w:rsidRPr="00BB09D5">
        <w:rPr>
          <w:rStyle w:val="normaltextrun"/>
          <w:rFonts w:ascii="Georgia" w:eastAsiaTheme="majorEastAsia" w:hAnsi="Georgia" w:cs="Calibri"/>
          <w:color w:val="000000"/>
        </w:rPr>
        <w:t>,</w:t>
      </w:r>
      <w:r w:rsidRPr="00BB09D5">
        <w:rPr>
          <w:rStyle w:val="normaltextrun"/>
          <w:rFonts w:ascii="Georgia" w:eastAsiaTheme="majorEastAsia" w:hAnsi="Georgia" w:cs="Calibri"/>
          <w:color w:val="222222"/>
        </w:rPr>
        <w:t xml:space="preserve"> in which civil rights organizations and Maryland voters have intervened to block the Department of Justice from seizing sensitive personal data on every registered voter in the state</w:t>
      </w:r>
      <w:r w:rsidRPr="00BB09D5">
        <w:rPr>
          <w:rStyle w:val="eop"/>
          <w:rFonts w:ascii="Georgia" w:eastAsiaTheme="majorEastAsia" w:hAnsi="Georgia" w:cs="Calibri"/>
          <w:color w:val="222222"/>
        </w:rPr>
        <w:t> </w:t>
      </w:r>
    </w:p>
    <w:p w14:paraId="6C923315" w14:textId="77777777" w:rsidR="00BB09D5" w:rsidRPr="00BB09D5" w:rsidRDefault="00BB09D5" w:rsidP="00BB09D5">
      <w:pPr>
        <w:pStyle w:val="paragraph"/>
        <w:spacing w:before="0" w:beforeAutospacing="0" w:after="0" w:afterAutospacing="0"/>
        <w:textAlignment w:val="baseline"/>
        <w:rPr>
          <w:rFonts w:ascii="Georgia" w:hAnsi="Georgia" w:cs="Segoe UI"/>
          <w:sz w:val="18"/>
          <w:szCs w:val="18"/>
        </w:rPr>
      </w:pPr>
    </w:p>
    <w:p w14:paraId="07F4E03E" w14:textId="77777777" w:rsidR="00BB09D5" w:rsidRPr="00BB09D5" w:rsidRDefault="00BB09D5" w:rsidP="00BB09D5">
      <w:pPr>
        <w:pStyle w:val="paragraph"/>
        <w:spacing w:before="0" w:beforeAutospacing="0" w:after="0" w:afterAutospacing="0"/>
        <w:textAlignment w:val="baseline"/>
        <w:rPr>
          <w:rStyle w:val="eop"/>
          <w:rFonts w:ascii="Georgia" w:eastAsiaTheme="majorEastAsia" w:hAnsi="Georgia" w:cs="Calibri"/>
          <w:color w:val="000000"/>
        </w:rPr>
      </w:pPr>
      <w:r w:rsidRPr="00BB09D5">
        <w:rPr>
          <w:rStyle w:val="normaltextrun"/>
          <w:rFonts w:ascii="Georgia" w:eastAsiaTheme="majorEastAsia" w:hAnsi="Georgia" w:cs="Calibri"/>
          <w:b/>
          <w:bCs/>
          <w:color w:val="000000"/>
        </w:rPr>
        <w:t>WHEN: </w:t>
      </w:r>
      <w:r w:rsidRPr="00BB09D5">
        <w:rPr>
          <w:rStyle w:val="normaltextrun"/>
          <w:rFonts w:ascii="Georgia" w:eastAsiaTheme="majorEastAsia" w:hAnsi="Georgia" w:cs="Calibri"/>
          <w:color w:val="000000"/>
        </w:rPr>
        <w:t>Wednesday, June 10 at 10 a.m. ET</w:t>
      </w:r>
      <w:r w:rsidRPr="00BB09D5">
        <w:rPr>
          <w:rStyle w:val="eop"/>
          <w:rFonts w:ascii="Georgia" w:eastAsiaTheme="majorEastAsia" w:hAnsi="Georgia" w:cs="Calibri"/>
          <w:color w:val="000000"/>
        </w:rPr>
        <w:t> </w:t>
      </w:r>
    </w:p>
    <w:p w14:paraId="1004E40C" w14:textId="77777777" w:rsidR="00BB09D5" w:rsidRPr="00BB09D5" w:rsidRDefault="00BB09D5" w:rsidP="00BB09D5">
      <w:pPr>
        <w:pStyle w:val="paragraph"/>
        <w:spacing w:before="0" w:beforeAutospacing="0" w:after="0" w:afterAutospacing="0"/>
        <w:textAlignment w:val="baseline"/>
        <w:rPr>
          <w:rFonts w:ascii="Georgia" w:hAnsi="Georgia" w:cs="Segoe UI"/>
          <w:sz w:val="18"/>
          <w:szCs w:val="18"/>
        </w:rPr>
      </w:pPr>
    </w:p>
    <w:p w14:paraId="0FFDBBBE" w14:textId="5A8EB546" w:rsidR="00BB09D5" w:rsidRPr="00BB09D5" w:rsidRDefault="00BB09D5" w:rsidP="00BB09D5">
      <w:pPr>
        <w:pStyle w:val="paragraph"/>
        <w:spacing w:before="0" w:beforeAutospacing="0" w:after="0" w:afterAutospacing="0"/>
        <w:textAlignment w:val="baseline"/>
        <w:rPr>
          <w:rStyle w:val="eop"/>
          <w:rFonts w:ascii="Georgia" w:hAnsi="Georgia" w:cs="Segoe UI"/>
          <w:sz w:val="18"/>
          <w:szCs w:val="18"/>
        </w:rPr>
      </w:pPr>
      <w:r w:rsidRPr="00BB09D5">
        <w:rPr>
          <w:rStyle w:val="normaltextrun"/>
          <w:rFonts w:ascii="Georgia" w:eastAsiaTheme="majorEastAsia" w:hAnsi="Georgia" w:cs="Calibri"/>
          <w:b/>
          <w:bCs/>
          <w:color w:val="000000"/>
        </w:rPr>
        <w:t>WHO: </w:t>
      </w:r>
      <w:r w:rsidRPr="00BB09D5">
        <w:rPr>
          <w:rStyle w:val="normaltextrun"/>
          <w:rFonts w:ascii="Georgia" w:eastAsiaTheme="majorEastAsia" w:hAnsi="Georgia" w:cs="Calibri"/>
          <w:color w:val="000000"/>
        </w:rPr>
        <w:t>Joanne Antoine, Executive Director of Common Cause Maryland</w:t>
      </w:r>
      <w:r w:rsidRPr="00BB09D5">
        <w:rPr>
          <w:rStyle w:val="eop"/>
          <w:rFonts w:ascii="Georgia" w:eastAsiaTheme="majorEastAsia" w:hAnsi="Georgia" w:cs="Calibri"/>
          <w:color w:val="000000"/>
        </w:rPr>
        <w:t xml:space="preserve">; </w:t>
      </w:r>
      <w:r w:rsidRPr="00BB09D5">
        <w:rPr>
          <w:rStyle w:val="normaltextrun"/>
          <w:rFonts w:ascii="Georgia" w:eastAsiaTheme="majorEastAsia" w:hAnsi="Georgia" w:cs="Calibri"/>
          <w:color w:val="000000"/>
        </w:rPr>
        <w:t>Trina Selden, Founder and Executive Director of Out </w:t>
      </w:r>
      <w:proofErr w:type="gramStart"/>
      <w:r w:rsidRPr="00BB09D5">
        <w:rPr>
          <w:rStyle w:val="normaltextrun"/>
          <w:rFonts w:ascii="Georgia" w:eastAsiaTheme="majorEastAsia" w:hAnsi="Georgia" w:cs="Calibri"/>
          <w:color w:val="000000"/>
        </w:rPr>
        <w:t>For</w:t>
      </w:r>
      <w:proofErr w:type="gramEnd"/>
      <w:r w:rsidRPr="00BB09D5">
        <w:rPr>
          <w:rStyle w:val="normaltextrun"/>
          <w:rFonts w:ascii="Georgia" w:eastAsiaTheme="majorEastAsia" w:hAnsi="Georgia" w:cs="Calibri"/>
          <w:color w:val="000000"/>
        </w:rPr>
        <w:t> Justice</w:t>
      </w:r>
      <w:r w:rsidRPr="00BB09D5">
        <w:rPr>
          <w:rStyle w:val="eop"/>
          <w:rFonts w:ascii="Georgia" w:eastAsiaTheme="majorEastAsia" w:hAnsi="Georgia" w:cs="Calibri"/>
          <w:color w:val="000000"/>
        </w:rPr>
        <w:t xml:space="preserve">; </w:t>
      </w:r>
      <w:r w:rsidRPr="00BB09D5">
        <w:rPr>
          <w:rStyle w:val="normaltextrun"/>
          <w:rFonts w:ascii="Georgia" w:eastAsiaTheme="majorEastAsia" w:hAnsi="Georgia" w:cs="Calibri"/>
          <w:color w:val="000000"/>
        </w:rPr>
        <w:t>Jonathan Topaz, Staff Attorney, ACLU Voting Rights Project</w:t>
      </w:r>
      <w:r w:rsidRPr="00BB09D5">
        <w:rPr>
          <w:rStyle w:val="eop"/>
          <w:rFonts w:ascii="Georgia" w:eastAsiaTheme="majorEastAsia" w:hAnsi="Georgia" w:cs="Calibri"/>
          <w:color w:val="000000"/>
        </w:rPr>
        <w:t> </w:t>
      </w:r>
    </w:p>
    <w:p w14:paraId="149E7AE0" w14:textId="77777777" w:rsidR="00BB09D5" w:rsidRPr="00BB09D5" w:rsidRDefault="00BB09D5" w:rsidP="00BB09D5">
      <w:pPr>
        <w:pStyle w:val="paragraph"/>
        <w:spacing w:before="0" w:beforeAutospacing="0" w:after="0" w:afterAutospacing="0"/>
        <w:textAlignment w:val="baseline"/>
        <w:rPr>
          <w:rFonts w:ascii="Georgia" w:hAnsi="Georgia" w:cs="Segoe UI"/>
          <w:sz w:val="18"/>
          <w:szCs w:val="18"/>
        </w:rPr>
      </w:pPr>
    </w:p>
    <w:p w14:paraId="7C230C53" w14:textId="487ED929" w:rsidR="00BB09D5" w:rsidRPr="00BB09D5" w:rsidRDefault="00BB09D5" w:rsidP="00BB09D5">
      <w:pPr>
        <w:pStyle w:val="paragraph"/>
        <w:spacing w:before="0" w:beforeAutospacing="0" w:after="0" w:afterAutospacing="0"/>
        <w:textAlignment w:val="baseline"/>
        <w:rPr>
          <w:rStyle w:val="eop"/>
          <w:rFonts w:ascii="Georgia" w:hAnsi="Georgia" w:cs="Segoe UI"/>
          <w:sz w:val="18"/>
          <w:szCs w:val="18"/>
        </w:rPr>
      </w:pPr>
      <w:r w:rsidRPr="00BB09D5">
        <w:rPr>
          <w:rStyle w:val="normaltextrun"/>
          <w:rFonts w:ascii="Georgia" w:eastAsiaTheme="majorEastAsia" w:hAnsi="Georgia" w:cs="Calibri"/>
          <w:b/>
          <w:bCs/>
          <w:color w:val="000000"/>
        </w:rPr>
        <w:t>WHERE:</w:t>
      </w:r>
      <w:r w:rsidRPr="00BB09D5">
        <w:rPr>
          <w:rStyle w:val="normaltextrun"/>
          <w:rFonts w:ascii="Georgia" w:eastAsiaTheme="majorEastAsia" w:hAnsi="Georgia" w:cs="Calibri"/>
          <w:color w:val="000000"/>
        </w:rPr>
        <w:t> 101 W. Lombard Street, Courtroom 1A, Baltimore, MD 21201</w:t>
      </w:r>
      <w:r w:rsidRPr="00BB09D5">
        <w:rPr>
          <w:rStyle w:val="eop"/>
          <w:rFonts w:ascii="Georgia" w:eastAsiaTheme="majorEastAsia" w:hAnsi="Georgia" w:cs="Calibri"/>
          <w:color w:val="881798"/>
        </w:rPr>
        <w:t xml:space="preserve">. </w:t>
      </w:r>
      <w:r w:rsidRPr="00BB09D5">
        <w:rPr>
          <w:rStyle w:val="normaltextrun"/>
          <w:rFonts w:ascii="Georgia" w:eastAsiaTheme="majorEastAsia" w:hAnsi="Georgia" w:cs="Calibri"/>
          <w:color w:val="000000"/>
        </w:rPr>
        <w:t>Attorneys and organizational leadership will be available for brief press interviews immediately outside the courthouse following the conclusion of the hearing.</w:t>
      </w:r>
      <w:r w:rsidRPr="00BB09D5">
        <w:rPr>
          <w:rStyle w:val="eop"/>
          <w:rFonts w:ascii="Georgia" w:eastAsiaTheme="majorEastAsia" w:hAnsi="Georgia" w:cs="Calibri"/>
          <w:color w:val="000000"/>
        </w:rPr>
        <w:t> </w:t>
      </w:r>
    </w:p>
    <w:p w14:paraId="47817C97" w14:textId="77777777" w:rsidR="00BB09D5" w:rsidRPr="00BB09D5" w:rsidRDefault="00BB09D5" w:rsidP="00BB09D5">
      <w:pPr>
        <w:pStyle w:val="paragraph"/>
        <w:spacing w:before="0" w:beforeAutospacing="0" w:after="0" w:afterAutospacing="0"/>
        <w:textAlignment w:val="baseline"/>
        <w:rPr>
          <w:rFonts w:ascii="Georgia" w:hAnsi="Georgia" w:cs="Segoe UI"/>
          <w:sz w:val="18"/>
          <w:szCs w:val="18"/>
        </w:rPr>
      </w:pPr>
    </w:p>
    <w:p w14:paraId="679CBDF7" w14:textId="77777777" w:rsidR="00BB09D5" w:rsidRPr="00BB09D5" w:rsidRDefault="00BB09D5" w:rsidP="00BB09D5">
      <w:pPr>
        <w:pStyle w:val="paragraph"/>
        <w:spacing w:before="0" w:beforeAutospacing="0" w:after="0" w:afterAutospacing="0"/>
        <w:textAlignment w:val="baseline"/>
        <w:rPr>
          <w:rStyle w:val="eop"/>
          <w:rFonts w:ascii="Georgia" w:eastAsiaTheme="majorEastAsia" w:hAnsi="Georgia" w:cs="Calibri"/>
          <w:color w:val="000000"/>
        </w:rPr>
      </w:pPr>
      <w:r w:rsidRPr="00BB09D5">
        <w:rPr>
          <w:rStyle w:val="normaltextrun"/>
          <w:rFonts w:ascii="Georgia" w:eastAsiaTheme="majorEastAsia" w:hAnsi="Georgia" w:cs="Calibri"/>
          <w:b/>
          <w:bCs/>
          <w:color w:val="000000"/>
        </w:rPr>
        <w:lastRenderedPageBreak/>
        <w:t>Background for Reporters:</w:t>
      </w:r>
      <w:r w:rsidRPr="00BB09D5">
        <w:rPr>
          <w:rStyle w:val="eop"/>
          <w:rFonts w:ascii="Georgia" w:eastAsiaTheme="majorEastAsia" w:hAnsi="Georgia" w:cs="Calibri"/>
          <w:color w:val="000000"/>
        </w:rPr>
        <w:t> </w:t>
      </w:r>
    </w:p>
    <w:p w14:paraId="73EBB099" w14:textId="77777777" w:rsidR="00BB09D5" w:rsidRPr="00BB09D5" w:rsidRDefault="00BB09D5" w:rsidP="00BB09D5">
      <w:pPr>
        <w:pStyle w:val="paragraph"/>
        <w:spacing w:before="0" w:beforeAutospacing="0" w:after="0" w:afterAutospacing="0"/>
        <w:textAlignment w:val="baseline"/>
        <w:rPr>
          <w:rFonts w:ascii="Georgia" w:hAnsi="Georgia" w:cs="Segoe UI"/>
          <w:sz w:val="18"/>
          <w:szCs w:val="18"/>
        </w:rPr>
      </w:pPr>
    </w:p>
    <w:p w14:paraId="0330A9A4" w14:textId="77777777" w:rsidR="00BB09D5" w:rsidRPr="00BB09D5" w:rsidRDefault="00BB09D5" w:rsidP="00BB09D5">
      <w:pPr>
        <w:pStyle w:val="paragraph"/>
        <w:spacing w:before="0" w:beforeAutospacing="0" w:after="0" w:afterAutospacing="0"/>
        <w:textAlignment w:val="baseline"/>
        <w:rPr>
          <w:rStyle w:val="eop"/>
          <w:rFonts w:ascii="Georgia" w:eastAsiaTheme="majorEastAsia" w:hAnsi="Georgia" w:cs="Calibri"/>
          <w:color w:val="222222"/>
        </w:rPr>
      </w:pPr>
      <w:r w:rsidRPr="00BB09D5">
        <w:rPr>
          <w:rStyle w:val="normaltextrun"/>
          <w:rFonts w:ascii="Georgia" w:eastAsiaTheme="majorEastAsia" w:hAnsi="Georgia" w:cs="Calibri"/>
          <w:color w:val="222222"/>
        </w:rPr>
        <w:t>In July 2025, the Department of Justice demanded that the State of Maryland turn over the full names, addresses, dates of birth, driver’s license numbers, and partial Social Security numbers of every registered voter in the state — highly sensitive data protected under Maryland and federal law.</w:t>
      </w:r>
      <w:r w:rsidRPr="00BB09D5">
        <w:rPr>
          <w:rStyle w:val="scxw190246281"/>
          <w:rFonts w:ascii="Georgia" w:eastAsiaTheme="majorEastAsia" w:hAnsi="Georgia" w:cs="Calibri"/>
          <w:color w:val="222222"/>
        </w:rPr>
        <w:t> </w:t>
      </w:r>
      <w:r w:rsidRPr="00BB09D5">
        <w:rPr>
          <w:rFonts w:ascii="Georgia" w:hAnsi="Georgia" w:cs="Calibri"/>
          <w:color w:val="222222"/>
        </w:rPr>
        <w:br/>
      </w:r>
      <w:r w:rsidRPr="00BB09D5">
        <w:rPr>
          <w:rStyle w:val="scxw190246281"/>
          <w:rFonts w:ascii="Georgia" w:eastAsiaTheme="majorEastAsia" w:hAnsi="Georgia" w:cs="Calibri"/>
          <w:color w:val="222222"/>
        </w:rPr>
        <w:t> </w:t>
      </w:r>
      <w:r w:rsidRPr="00BB09D5">
        <w:rPr>
          <w:rFonts w:ascii="Georgia" w:hAnsi="Georgia" w:cs="Calibri"/>
          <w:color w:val="222222"/>
        </w:rPr>
        <w:br/>
      </w:r>
      <w:r w:rsidRPr="00BB09D5">
        <w:rPr>
          <w:rStyle w:val="normaltextrun"/>
          <w:rFonts w:ascii="Georgia" w:eastAsiaTheme="majorEastAsia" w:hAnsi="Georgia" w:cs="Calibri"/>
          <w:color w:val="222222"/>
        </w:rPr>
        <w:t>In December 2025, Common Cause, Out for Justice, and three Maryland voters joined the ACLU of Maryland and the ACLU National Voting Rights Project in </w:t>
      </w:r>
      <w:hyperlink r:id="rId10" w:tgtFrame="_blank" w:history="1">
        <w:r w:rsidRPr="00BB09D5">
          <w:rPr>
            <w:rStyle w:val="normaltextrun"/>
            <w:rFonts w:ascii="Georgia" w:eastAsiaTheme="majorEastAsia" w:hAnsi="Georgia" w:cs="Segoe UI"/>
            <w:color w:val="96607D"/>
            <w:u w:val="single"/>
          </w:rPr>
          <w:t>filing a motion</w:t>
        </w:r>
      </w:hyperlink>
      <w:r w:rsidRPr="00BB09D5">
        <w:rPr>
          <w:rStyle w:val="normaltextrun"/>
          <w:rFonts w:ascii="Georgia" w:eastAsiaTheme="majorEastAsia" w:hAnsi="Georgia" w:cs="Calibri"/>
          <w:color w:val="222222"/>
        </w:rPr>
        <w:t> to intervene to block the demand. The intervenors argue the data grab threatens voter privacy, could enable mass voter purges, and would chill participation among naturalized citizens, returning citizens, and other vulnerable communities.</w:t>
      </w:r>
      <w:r w:rsidRPr="00BB09D5">
        <w:rPr>
          <w:rStyle w:val="scxw190246281"/>
          <w:rFonts w:ascii="Georgia" w:eastAsiaTheme="majorEastAsia" w:hAnsi="Georgia" w:cs="Calibri"/>
          <w:color w:val="222222"/>
        </w:rPr>
        <w:t> </w:t>
      </w:r>
      <w:r w:rsidRPr="00BB09D5">
        <w:rPr>
          <w:rFonts w:ascii="Georgia" w:hAnsi="Georgia" w:cs="Calibri"/>
          <w:color w:val="222222"/>
        </w:rPr>
        <w:br/>
      </w:r>
      <w:r w:rsidRPr="00BB09D5">
        <w:rPr>
          <w:rStyle w:val="scxw190246281"/>
          <w:rFonts w:ascii="Georgia" w:eastAsiaTheme="majorEastAsia" w:hAnsi="Georgia" w:cs="Calibri"/>
          <w:color w:val="222222"/>
        </w:rPr>
        <w:t> </w:t>
      </w:r>
      <w:r w:rsidRPr="00BB09D5">
        <w:rPr>
          <w:rFonts w:ascii="Georgia" w:hAnsi="Georgia" w:cs="Calibri"/>
          <w:color w:val="222222"/>
        </w:rPr>
        <w:br/>
      </w:r>
      <w:r w:rsidRPr="00BB09D5">
        <w:rPr>
          <w:rStyle w:val="normaltextrun"/>
          <w:rFonts w:ascii="Georgia" w:eastAsiaTheme="majorEastAsia" w:hAnsi="Georgia" w:cs="Calibri"/>
          <w:color w:val="000000"/>
        </w:rPr>
        <w:t>The DOJ's unprecedented demand for Maryland's private voter data has sparked widespread alarm among civil rights groups who argue the data could be shared with bad-faith actors to prevent eligible voters from casting their ballots. Similar legal battles and interventions are currently being fought by civil rights advocates in states across the country</w:t>
      </w:r>
      <w:r w:rsidRPr="00BB09D5">
        <w:rPr>
          <w:rStyle w:val="normaltextrun"/>
          <w:rFonts w:ascii="Georgia" w:eastAsiaTheme="majorEastAsia" w:hAnsi="Georgia" w:cs="Calibri"/>
          <w:color w:val="222222"/>
        </w:rPr>
        <w:t>.</w:t>
      </w:r>
      <w:r w:rsidRPr="00BB09D5">
        <w:rPr>
          <w:rStyle w:val="eop"/>
          <w:rFonts w:ascii="Georgia" w:eastAsiaTheme="majorEastAsia" w:hAnsi="Georgia" w:cs="Calibri"/>
          <w:color w:val="222222"/>
        </w:rPr>
        <w:t> </w:t>
      </w:r>
    </w:p>
    <w:p w14:paraId="1F77AFCF" w14:textId="77777777" w:rsidR="00BB09D5" w:rsidRPr="00BB09D5" w:rsidRDefault="00BB09D5" w:rsidP="00BB09D5">
      <w:pPr>
        <w:pStyle w:val="paragraph"/>
        <w:spacing w:before="0" w:beforeAutospacing="0" w:after="0" w:afterAutospacing="0"/>
        <w:textAlignment w:val="baseline"/>
        <w:rPr>
          <w:rFonts w:ascii="Georgia" w:hAnsi="Georgia" w:cs="Segoe UI"/>
          <w:sz w:val="18"/>
          <w:szCs w:val="18"/>
        </w:rPr>
      </w:pPr>
    </w:p>
    <w:p w14:paraId="7CE8A42F" w14:textId="77777777" w:rsidR="00BB09D5" w:rsidRPr="00BB09D5" w:rsidRDefault="00BB09D5" w:rsidP="00BB09D5">
      <w:pPr>
        <w:pStyle w:val="paragraph"/>
        <w:spacing w:before="0" w:beforeAutospacing="0" w:after="0" w:afterAutospacing="0"/>
        <w:jc w:val="center"/>
        <w:textAlignment w:val="baseline"/>
        <w:rPr>
          <w:rFonts w:ascii="Georgia" w:hAnsi="Georgia" w:cs="Segoe UI"/>
          <w:sz w:val="18"/>
          <w:szCs w:val="18"/>
        </w:rPr>
      </w:pPr>
      <w:r w:rsidRPr="00BB09D5">
        <w:rPr>
          <w:rStyle w:val="normaltextrun"/>
          <w:rFonts w:ascii="Georgia" w:eastAsiaTheme="majorEastAsia" w:hAnsi="Georgia" w:cs="Calibri"/>
          <w:color w:val="000000"/>
        </w:rPr>
        <w:t>###</w:t>
      </w:r>
      <w:r w:rsidRPr="00BB09D5">
        <w:rPr>
          <w:rStyle w:val="eop"/>
          <w:rFonts w:ascii="Georgia" w:eastAsiaTheme="majorEastAsia" w:hAnsi="Georgia" w:cs="Calibri"/>
          <w:color w:val="000000"/>
        </w:rPr>
        <w:t> </w:t>
      </w:r>
    </w:p>
    <w:p w14:paraId="13455179" w14:textId="6CB31896" w:rsidR="00006D14" w:rsidRPr="00767E8F" w:rsidRDefault="00006D14" w:rsidP="00BB09D5">
      <w:pPr>
        <w:pStyle w:val="NormalWeb"/>
        <w:spacing w:before="240" w:beforeAutospacing="0" w:after="240" w:afterAutospacing="0"/>
        <w:rPr>
          <w:rFonts w:ascii="Georgia" w:hAnsi="Georgia" w:cs="Arial"/>
          <w:color w:val="222222"/>
        </w:rPr>
      </w:pPr>
    </w:p>
    <w:sectPr w:rsidR="00006D14" w:rsidRPr="00767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C4149"/>
    <w:multiLevelType w:val="multilevel"/>
    <w:tmpl w:val="8740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0289C"/>
    <w:multiLevelType w:val="multilevel"/>
    <w:tmpl w:val="30A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9228A"/>
    <w:multiLevelType w:val="hybridMultilevel"/>
    <w:tmpl w:val="8C3A041C"/>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16cid:durableId="1071541011">
    <w:abstractNumId w:val="0"/>
  </w:num>
  <w:num w:numId="2" w16cid:durableId="1080443673">
    <w:abstractNumId w:val="2"/>
  </w:num>
  <w:num w:numId="3" w16cid:durableId="179975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F2"/>
    <w:rsid w:val="00000E50"/>
    <w:rsid w:val="00006D14"/>
    <w:rsid w:val="00031A13"/>
    <w:rsid w:val="000326A0"/>
    <w:rsid w:val="00090BA0"/>
    <w:rsid w:val="000D475D"/>
    <w:rsid w:val="00171E19"/>
    <w:rsid w:val="00184191"/>
    <w:rsid w:val="00186A4A"/>
    <w:rsid w:val="001D6DAD"/>
    <w:rsid w:val="001D7F3F"/>
    <w:rsid w:val="002038A9"/>
    <w:rsid w:val="0020646F"/>
    <w:rsid w:val="00242E2D"/>
    <w:rsid w:val="00273628"/>
    <w:rsid w:val="00282EE7"/>
    <w:rsid w:val="002B03F2"/>
    <w:rsid w:val="0030017A"/>
    <w:rsid w:val="003216BD"/>
    <w:rsid w:val="003246BD"/>
    <w:rsid w:val="00327A84"/>
    <w:rsid w:val="0037056B"/>
    <w:rsid w:val="003D74B2"/>
    <w:rsid w:val="00422AE5"/>
    <w:rsid w:val="00450694"/>
    <w:rsid w:val="00494857"/>
    <w:rsid w:val="004C5EB9"/>
    <w:rsid w:val="004E52D6"/>
    <w:rsid w:val="0052104C"/>
    <w:rsid w:val="00560C06"/>
    <w:rsid w:val="00596CC0"/>
    <w:rsid w:val="005B018F"/>
    <w:rsid w:val="005B6AEA"/>
    <w:rsid w:val="0061553C"/>
    <w:rsid w:val="006519CD"/>
    <w:rsid w:val="006E4D2A"/>
    <w:rsid w:val="00767E8F"/>
    <w:rsid w:val="00776775"/>
    <w:rsid w:val="00797FDC"/>
    <w:rsid w:val="00820F64"/>
    <w:rsid w:val="008353E4"/>
    <w:rsid w:val="008415C8"/>
    <w:rsid w:val="00891891"/>
    <w:rsid w:val="0092447A"/>
    <w:rsid w:val="00931917"/>
    <w:rsid w:val="0096186A"/>
    <w:rsid w:val="00966160"/>
    <w:rsid w:val="009A335F"/>
    <w:rsid w:val="009E2A8B"/>
    <w:rsid w:val="00A100BA"/>
    <w:rsid w:val="00A63345"/>
    <w:rsid w:val="00A640BB"/>
    <w:rsid w:val="00A81E98"/>
    <w:rsid w:val="00AE6781"/>
    <w:rsid w:val="00AF0A7D"/>
    <w:rsid w:val="00B13AF2"/>
    <w:rsid w:val="00B5025D"/>
    <w:rsid w:val="00B7205D"/>
    <w:rsid w:val="00B732B0"/>
    <w:rsid w:val="00B75951"/>
    <w:rsid w:val="00B8161D"/>
    <w:rsid w:val="00B877FA"/>
    <w:rsid w:val="00B87A58"/>
    <w:rsid w:val="00B91182"/>
    <w:rsid w:val="00BB09D5"/>
    <w:rsid w:val="00BC6D44"/>
    <w:rsid w:val="00C079AB"/>
    <w:rsid w:val="00C24E60"/>
    <w:rsid w:val="00C347B5"/>
    <w:rsid w:val="00C43322"/>
    <w:rsid w:val="00C863F1"/>
    <w:rsid w:val="00D55CFA"/>
    <w:rsid w:val="00DC36AD"/>
    <w:rsid w:val="00DC59E9"/>
    <w:rsid w:val="00E33144"/>
    <w:rsid w:val="00E50332"/>
    <w:rsid w:val="00E82F0A"/>
    <w:rsid w:val="00EA058A"/>
    <w:rsid w:val="00EC123A"/>
    <w:rsid w:val="00ED7F17"/>
    <w:rsid w:val="00FA6715"/>
    <w:rsid w:val="04239A48"/>
    <w:rsid w:val="08307070"/>
    <w:rsid w:val="0CFBFB44"/>
    <w:rsid w:val="0EAC8483"/>
    <w:rsid w:val="14D60807"/>
    <w:rsid w:val="18E24B28"/>
    <w:rsid w:val="1C1E9046"/>
    <w:rsid w:val="1F774D4D"/>
    <w:rsid w:val="22B0E7DD"/>
    <w:rsid w:val="232EDCEE"/>
    <w:rsid w:val="2341AEE7"/>
    <w:rsid w:val="276D32A6"/>
    <w:rsid w:val="29748211"/>
    <w:rsid w:val="3B00EFE5"/>
    <w:rsid w:val="4342968B"/>
    <w:rsid w:val="45FEBF59"/>
    <w:rsid w:val="4A5035C7"/>
    <w:rsid w:val="4DFCD145"/>
    <w:rsid w:val="57507171"/>
    <w:rsid w:val="589802CE"/>
    <w:rsid w:val="5B978A37"/>
    <w:rsid w:val="64AB5AAD"/>
    <w:rsid w:val="6BE21796"/>
    <w:rsid w:val="6F0691F3"/>
    <w:rsid w:val="74E7622C"/>
    <w:rsid w:val="77E3B30B"/>
    <w:rsid w:val="78046BE0"/>
    <w:rsid w:val="7D8E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3AF1"/>
  <w15:chartTrackingRefBased/>
  <w15:docId w15:val="{9D8CD918-BFC0-0641-84EA-4CBF97EB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0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0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0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0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3F2"/>
    <w:rPr>
      <w:rFonts w:eastAsiaTheme="majorEastAsia" w:cstheme="majorBidi"/>
      <w:color w:val="272727" w:themeColor="text1" w:themeTint="D8"/>
    </w:rPr>
  </w:style>
  <w:style w:type="paragraph" w:styleId="Title">
    <w:name w:val="Title"/>
    <w:basedOn w:val="Normal"/>
    <w:next w:val="Normal"/>
    <w:link w:val="TitleChar"/>
    <w:uiPriority w:val="10"/>
    <w:qFormat/>
    <w:rsid w:val="002B0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3F2"/>
    <w:pPr>
      <w:spacing w:before="160"/>
      <w:jc w:val="center"/>
    </w:pPr>
    <w:rPr>
      <w:i/>
      <w:iCs/>
      <w:color w:val="404040" w:themeColor="text1" w:themeTint="BF"/>
    </w:rPr>
  </w:style>
  <w:style w:type="character" w:customStyle="1" w:styleId="QuoteChar">
    <w:name w:val="Quote Char"/>
    <w:basedOn w:val="DefaultParagraphFont"/>
    <w:link w:val="Quote"/>
    <w:uiPriority w:val="29"/>
    <w:rsid w:val="002B03F2"/>
    <w:rPr>
      <w:i/>
      <w:iCs/>
      <w:color w:val="404040" w:themeColor="text1" w:themeTint="BF"/>
    </w:rPr>
  </w:style>
  <w:style w:type="paragraph" w:styleId="ListParagraph">
    <w:name w:val="List Paragraph"/>
    <w:basedOn w:val="Normal"/>
    <w:uiPriority w:val="34"/>
    <w:qFormat/>
    <w:rsid w:val="002B03F2"/>
    <w:pPr>
      <w:ind w:left="720"/>
      <w:contextualSpacing/>
    </w:pPr>
  </w:style>
  <w:style w:type="character" w:styleId="IntenseEmphasis">
    <w:name w:val="Intense Emphasis"/>
    <w:basedOn w:val="DefaultParagraphFont"/>
    <w:uiPriority w:val="21"/>
    <w:qFormat/>
    <w:rsid w:val="002B03F2"/>
    <w:rPr>
      <w:i/>
      <w:iCs/>
      <w:color w:val="0F4761" w:themeColor="accent1" w:themeShade="BF"/>
    </w:rPr>
  </w:style>
  <w:style w:type="paragraph" w:styleId="IntenseQuote">
    <w:name w:val="Intense Quote"/>
    <w:basedOn w:val="Normal"/>
    <w:next w:val="Normal"/>
    <w:link w:val="IntenseQuoteChar"/>
    <w:uiPriority w:val="30"/>
    <w:qFormat/>
    <w:rsid w:val="002B0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3F2"/>
    <w:rPr>
      <w:i/>
      <w:iCs/>
      <w:color w:val="0F4761" w:themeColor="accent1" w:themeShade="BF"/>
    </w:rPr>
  </w:style>
  <w:style w:type="character" w:styleId="IntenseReference">
    <w:name w:val="Intense Reference"/>
    <w:basedOn w:val="DefaultParagraphFont"/>
    <w:uiPriority w:val="32"/>
    <w:qFormat/>
    <w:rsid w:val="002B03F2"/>
    <w:rPr>
      <w:b/>
      <w:bCs/>
      <w:smallCaps/>
      <w:color w:val="0F4761" w:themeColor="accent1" w:themeShade="BF"/>
      <w:spacing w:val="5"/>
    </w:rPr>
  </w:style>
  <w:style w:type="paragraph" w:styleId="NormalWeb">
    <w:name w:val="Normal (Web)"/>
    <w:basedOn w:val="Normal"/>
    <w:uiPriority w:val="99"/>
    <w:unhideWhenUsed/>
    <w:rsid w:val="002B03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B03F2"/>
    <w:rPr>
      <w:color w:val="0000FF"/>
      <w:u w:val="single"/>
    </w:rPr>
  </w:style>
  <w:style w:type="character" w:styleId="UnresolvedMention">
    <w:name w:val="Unresolved Mention"/>
    <w:basedOn w:val="DefaultParagraphFont"/>
    <w:uiPriority w:val="99"/>
    <w:semiHidden/>
    <w:unhideWhenUsed/>
    <w:rsid w:val="002B03F2"/>
    <w:rPr>
      <w:color w:val="605E5C"/>
      <w:shd w:val="clear" w:color="auto" w:fill="E1DFDD"/>
    </w:rPr>
  </w:style>
  <w:style w:type="table" w:styleId="TableGrid">
    <w:name w:val="Table Grid"/>
    <w:basedOn w:val="TableNormal"/>
    <w:uiPriority w:val="39"/>
    <w:rsid w:val="00C34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C347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E33144"/>
    <w:rPr>
      <w:color w:val="96607D" w:themeColor="followedHyperlink"/>
      <w:u w:val="single"/>
    </w:rPr>
  </w:style>
  <w:style w:type="paragraph" w:styleId="Header">
    <w:name w:val="header"/>
    <w:basedOn w:val="Normal"/>
    <w:link w:val="HeaderChar"/>
    <w:rsid w:val="00E33144"/>
    <w:pPr>
      <w:tabs>
        <w:tab w:val="center" w:pos="4320"/>
        <w:tab w:val="right" w:pos="8640"/>
      </w:tabs>
      <w:spacing w:after="0" w:line="240" w:lineRule="auto"/>
    </w:pPr>
    <w:rPr>
      <w:rFonts w:ascii="Times New Roman" w:eastAsia="Times New Roman" w:hAnsi="Times New Roman" w:cs="Times New Roman"/>
      <w:kern w:val="0"/>
      <w:szCs w:val="20"/>
      <w14:ligatures w14:val="none"/>
    </w:rPr>
  </w:style>
  <w:style w:type="character" w:customStyle="1" w:styleId="HeaderChar">
    <w:name w:val="Header Char"/>
    <w:basedOn w:val="DefaultParagraphFont"/>
    <w:link w:val="Header"/>
    <w:rsid w:val="00E33144"/>
    <w:rPr>
      <w:rFonts w:ascii="Times New Roman" w:eastAsia="Times New Roman" w:hAnsi="Times New Roman" w:cs="Times New Roman"/>
      <w:kern w:val="0"/>
      <w:szCs w:val="2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38A9"/>
    <w:pPr>
      <w:spacing w:after="0" w:line="240" w:lineRule="auto"/>
    </w:pPr>
  </w:style>
  <w:style w:type="paragraph" w:styleId="CommentSubject">
    <w:name w:val="annotation subject"/>
    <w:basedOn w:val="CommentText"/>
    <w:next w:val="CommentText"/>
    <w:link w:val="CommentSubjectChar"/>
    <w:uiPriority w:val="99"/>
    <w:semiHidden/>
    <w:unhideWhenUsed/>
    <w:rsid w:val="006519CD"/>
    <w:rPr>
      <w:b/>
      <w:bCs/>
    </w:rPr>
  </w:style>
  <w:style w:type="character" w:customStyle="1" w:styleId="CommentSubjectChar">
    <w:name w:val="Comment Subject Char"/>
    <w:basedOn w:val="CommentTextChar"/>
    <w:link w:val="CommentSubject"/>
    <w:uiPriority w:val="99"/>
    <w:semiHidden/>
    <w:rsid w:val="006519CD"/>
    <w:rPr>
      <w:b/>
      <w:bCs/>
      <w:sz w:val="20"/>
      <w:szCs w:val="20"/>
    </w:rPr>
  </w:style>
  <w:style w:type="paragraph" w:customStyle="1" w:styleId="paragraph">
    <w:name w:val="paragraph"/>
    <w:basedOn w:val="Normal"/>
    <w:rsid w:val="00BB09D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B09D5"/>
  </w:style>
  <w:style w:type="character" w:customStyle="1" w:styleId="eop">
    <w:name w:val="eop"/>
    <w:basedOn w:val="DefaultParagraphFont"/>
    <w:rsid w:val="00BB09D5"/>
  </w:style>
  <w:style w:type="character" w:customStyle="1" w:styleId="scxw190246281">
    <w:name w:val="scxw190246281"/>
    <w:basedOn w:val="DefaultParagraphFont"/>
    <w:rsid w:val="00BB0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55472">
      <w:bodyDiv w:val="1"/>
      <w:marLeft w:val="0"/>
      <w:marRight w:val="0"/>
      <w:marTop w:val="0"/>
      <w:marBottom w:val="0"/>
      <w:divBdr>
        <w:top w:val="none" w:sz="0" w:space="0" w:color="auto"/>
        <w:left w:val="none" w:sz="0" w:space="0" w:color="auto"/>
        <w:bottom w:val="none" w:sz="0" w:space="0" w:color="auto"/>
        <w:right w:val="none" w:sz="0" w:space="0" w:color="auto"/>
      </w:divBdr>
    </w:div>
    <w:div w:id="225190586">
      <w:bodyDiv w:val="1"/>
      <w:marLeft w:val="0"/>
      <w:marRight w:val="0"/>
      <w:marTop w:val="0"/>
      <w:marBottom w:val="0"/>
      <w:divBdr>
        <w:top w:val="none" w:sz="0" w:space="0" w:color="auto"/>
        <w:left w:val="none" w:sz="0" w:space="0" w:color="auto"/>
        <w:bottom w:val="none" w:sz="0" w:space="0" w:color="auto"/>
        <w:right w:val="none" w:sz="0" w:space="0" w:color="auto"/>
      </w:divBdr>
    </w:div>
    <w:div w:id="464007927">
      <w:bodyDiv w:val="1"/>
      <w:marLeft w:val="0"/>
      <w:marRight w:val="0"/>
      <w:marTop w:val="0"/>
      <w:marBottom w:val="0"/>
      <w:divBdr>
        <w:top w:val="none" w:sz="0" w:space="0" w:color="auto"/>
        <w:left w:val="none" w:sz="0" w:space="0" w:color="auto"/>
        <w:bottom w:val="none" w:sz="0" w:space="0" w:color="auto"/>
        <w:right w:val="none" w:sz="0" w:space="0" w:color="auto"/>
      </w:divBdr>
    </w:div>
    <w:div w:id="628509086">
      <w:bodyDiv w:val="1"/>
      <w:marLeft w:val="0"/>
      <w:marRight w:val="0"/>
      <w:marTop w:val="0"/>
      <w:marBottom w:val="0"/>
      <w:divBdr>
        <w:top w:val="none" w:sz="0" w:space="0" w:color="auto"/>
        <w:left w:val="none" w:sz="0" w:space="0" w:color="auto"/>
        <w:bottom w:val="none" w:sz="0" w:space="0" w:color="auto"/>
        <w:right w:val="none" w:sz="0" w:space="0" w:color="auto"/>
      </w:divBdr>
      <w:divsChild>
        <w:div w:id="121074432">
          <w:marLeft w:val="0"/>
          <w:marRight w:val="0"/>
          <w:marTop w:val="0"/>
          <w:marBottom w:val="0"/>
          <w:divBdr>
            <w:top w:val="none" w:sz="0" w:space="0" w:color="auto"/>
            <w:left w:val="none" w:sz="0" w:space="0" w:color="auto"/>
            <w:bottom w:val="none" w:sz="0" w:space="0" w:color="auto"/>
            <w:right w:val="none" w:sz="0" w:space="0" w:color="auto"/>
          </w:divBdr>
        </w:div>
        <w:div w:id="2130973387">
          <w:marLeft w:val="0"/>
          <w:marRight w:val="0"/>
          <w:marTop w:val="0"/>
          <w:marBottom w:val="0"/>
          <w:divBdr>
            <w:top w:val="none" w:sz="0" w:space="0" w:color="auto"/>
            <w:left w:val="none" w:sz="0" w:space="0" w:color="auto"/>
            <w:bottom w:val="none" w:sz="0" w:space="0" w:color="auto"/>
            <w:right w:val="none" w:sz="0" w:space="0" w:color="auto"/>
          </w:divBdr>
        </w:div>
        <w:div w:id="1974753">
          <w:marLeft w:val="0"/>
          <w:marRight w:val="0"/>
          <w:marTop w:val="0"/>
          <w:marBottom w:val="0"/>
          <w:divBdr>
            <w:top w:val="none" w:sz="0" w:space="0" w:color="auto"/>
            <w:left w:val="none" w:sz="0" w:space="0" w:color="auto"/>
            <w:bottom w:val="none" w:sz="0" w:space="0" w:color="auto"/>
            <w:right w:val="none" w:sz="0" w:space="0" w:color="auto"/>
          </w:divBdr>
        </w:div>
        <w:div w:id="1181628997">
          <w:marLeft w:val="0"/>
          <w:marRight w:val="0"/>
          <w:marTop w:val="0"/>
          <w:marBottom w:val="0"/>
          <w:divBdr>
            <w:top w:val="none" w:sz="0" w:space="0" w:color="auto"/>
            <w:left w:val="none" w:sz="0" w:space="0" w:color="auto"/>
            <w:bottom w:val="none" w:sz="0" w:space="0" w:color="auto"/>
            <w:right w:val="none" w:sz="0" w:space="0" w:color="auto"/>
          </w:divBdr>
        </w:div>
        <w:div w:id="74087249">
          <w:marLeft w:val="0"/>
          <w:marRight w:val="0"/>
          <w:marTop w:val="0"/>
          <w:marBottom w:val="0"/>
          <w:divBdr>
            <w:top w:val="none" w:sz="0" w:space="0" w:color="auto"/>
            <w:left w:val="none" w:sz="0" w:space="0" w:color="auto"/>
            <w:bottom w:val="none" w:sz="0" w:space="0" w:color="auto"/>
            <w:right w:val="none" w:sz="0" w:space="0" w:color="auto"/>
          </w:divBdr>
        </w:div>
        <w:div w:id="1835492573">
          <w:marLeft w:val="0"/>
          <w:marRight w:val="0"/>
          <w:marTop w:val="0"/>
          <w:marBottom w:val="0"/>
          <w:divBdr>
            <w:top w:val="none" w:sz="0" w:space="0" w:color="auto"/>
            <w:left w:val="none" w:sz="0" w:space="0" w:color="auto"/>
            <w:bottom w:val="none" w:sz="0" w:space="0" w:color="auto"/>
            <w:right w:val="none" w:sz="0" w:space="0" w:color="auto"/>
          </w:divBdr>
        </w:div>
        <w:div w:id="362021124">
          <w:marLeft w:val="0"/>
          <w:marRight w:val="0"/>
          <w:marTop w:val="0"/>
          <w:marBottom w:val="0"/>
          <w:divBdr>
            <w:top w:val="none" w:sz="0" w:space="0" w:color="auto"/>
            <w:left w:val="none" w:sz="0" w:space="0" w:color="auto"/>
            <w:bottom w:val="none" w:sz="0" w:space="0" w:color="auto"/>
            <w:right w:val="none" w:sz="0" w:space="0" w:color="auto"/>
          </w:divBdr>
        </w:div>
        <w:div w:id="2099399457">
          <w:marLeft w:val="0"/>
          <w:marRight w:val="0"/>
          <w:marTop w:val="0"/>
          <w:marBottom w:val="0"/>
          <w:divBdr>
            <w:top w:val="none" w:sz="0" w:space="0" w:color="auto"/>
            <w:left w:val="none" w:sz="0" w:space="0" w:color="auto"/>
            <w:bottom w:val="none" w:sz="0" w:space="0" w:color="auto"/>
            <w:right w:val="none" w:sz="0" w:space="0" w:color="auto"/>
          </w:divBdr>
        </w:div>
        <w:div w:id="1324702145">
          <w:marLeft w:val="0"/>
          <w:marRight w:val="0"/>
          <w:marTop w:val="0"/>
          <w:marBottom w:val="0"/>
          <w:divBdr>
            <w:top w:val="none" w:sz="0" w:space="0" w:color="auto"/>
            <w:left w:val="none" w:sz="0" w:space="0" w:color="auto"/>
            <w:bottom w:val="none" w:sz="0" w:space="0" w:color="auto"/>
            <w:right w:val="none" w:sz="0" w:space="0" w:color="auto"/>
          </w:divBdr>
        </w:div>
        <w:div w:id="1583758318">
          <w:marLeft w:val="0"/>
          <w:marRight w:val="0"/>
          <w:marTop w:val="0"/>
          <w:marBottom w:val="0"/>
          <w:divBdr>
            <w:top w:val="none" w:sz="0" w:space="0" w:color="auto"/>
            <w:left w:val="none" w:sz="0" w:space="0" w:color="auto"/>
            <w:bottom w:val="none" w:sz="0" w:space="0" w:color="auto"/>
            <w:right w:val="none" w:sz="0" w:space="0" w:color="auto"/>
          </w:divBdr>
        </w:div>
        <w:div w:id="785662738">
          <w:marLeft w:val="0"/>
          <w:marRight w:val="0"/>
          <w:marTop w:val="0"/>
          <w:marBottom w:val="0"/>
          <w:divBdr>
            <w:top w:val="none" w:sz="0" w:space="0" w:color="auto"/>
            <w:left w:val="none" w:sz="0" w:space="0" w:color="auto"/>
            <w:bottom w:val="none" w:sz="0" w:space="0" w:color="auto"/>
            <w:right w:val="none" w:sz="0" w:space="0" w:color="auto"/>
          </w:divBdr>
        </w:div>
        <w:div w:id="878513897">
          <w:marLeft w:val="0"/>
          <w:marRight w:val="0"/>
          <w:marTop w:val="0"/>
          <w:marBottom w:val="0"/>
          <w:divBdr>
            <w:top w:val="none" w:sz="0" w:space="0" w:color="auto"/>
            <w:left w:val="none" w:sz="0" w:space="0" w:color="auto"/>
            <w:bottom w:val="none" w:sz="0" w:space="0" w:color="auto"/>
            <w:right w:val="none" w:sz="0" w:space="0" w:color="auto"/>
          </w:divBdr>
        </w:div>
        <w:div w:id="368606484">
          <w:marLeft w:val="0"/>
          <w:marRight w:val="0"/>
          <w:marTop w:val="0"/>
          <w:marBottom w:val="0"/>
          <w:divBdr>
            <w:top w:val="none" w:sz="0" w:space="0" w:color="auto"/>
            <w:left w:val="none" w:sz="0" w:space="0" w:color="auto"/>
            <w:bottom w:val="none" w:sz="0" w:space="0" w:color="auto"/>
            <w:right w:val="none" w:sz="0" w:space="0" w:color="auto"/>
          </w:divBdr>
        </w:div>
      </w:divsChild>
    </w:div>
    <w:div w:id="1083448937">
      <w:bodyDiv w:val="1"/>
      <w:marLeft w:val="0"/>
      <w:marRight w:val="0"/>
      <w:marTop w:val="0"/>
      <w:marBottom w:val="0"/>
      <w:divBdr>
        <w:top w:val="none" w:sz="0" w:space="0" w:color="auto"/>
        <w:left w:val="none" w:sz="0" w:space="0" w:color="auto"/>
        <w:bottom w:val="none" w:sz="0" w:space="0" w:color="auto"/>
        <w:right w:val="none" w:sz="0" w:space="0" w:color="auto"/>
      </w:divBdr>
    </w:div>
    <w:div w:id="1604537688">
      <w:bodyDiv w:val="1"/>
      <w:marLeft w:val="0"/>
      <w:marRight w:val="0"/>
      <w:marTop w:val="0"/>
      <w:marBottom w:val="0"/>
      <w:divBdr>
        <w:top w:val="none" w:sz="0" w:space="0" w:color="auto"/>
        <w:left w:val="none" w:sz="0" w:space="0" w:color="auto"/>
        <w:bottom w:val="none" w:sz="0" w:space="0" w:color="auto"/>
        <w:right w:val="none" w:sz="0" w:space="0" w:color="auto"/>
      </w:divBdr>
    </w:div>
    <w:div w:id="1662999571">
      <w:bodyDiv w:val="1"/>
      <w:marLeft w:val="0"/>
      <w:marRight w:val="0"/>
      <w:marTop w:val="0"/>
      <w:marBottom w:val="0"/>
      <w:divBdr>
        <w:top w:val="none" w:sz="0" w:space="0" w:color="auto"/>
        <w:left w:val="none" w:sz="0" w:space="0" w:color="auto"/>
        <w:bottom w:val="none" w:sz="0" w:space="0" w:color="auto"/>
        <w:right w:val="none" w:sz="0" w:space="0" w:color="auto"/>
      </w:divBdr>
    </w:div>
    <w:div w:id="1994604593">
      <w:bodyDiv w:val="1"/>
      <w:marLeft w:val="0"/>
      <w:marRight w:val="0"/>
      <w:marTop w:val="0"/>
      <w:marBottom w:val="0"/>
      <w:divBdr>
        <w:top w:val="none" w:sz="0" w:space="0" w:color="auto"/>
        <w:left w:val="none" w:sz="0" w:space="0" w:color="auto"/>
        <w:bottom w:val="none" w:sz="0" w:space="0" w:color="auto"/>
        <w:right w:val="none" w:sz="0" w:space="0" w:color="auto"/>
      </w:divBdr>
    </w:div>
    <w:div w:id="2043821144">
      <w:bodyDiv w:val="1"/>
      <w:marLeft w:val="0"/>
      <w:marRight w:val="0"/>
      <w:marTop w:val="0"/>
      <w:marBottom w:val="0"/>
      <w:divBdr>
        <w:top w:val="none" w:sz="0" w:space="0" w:color="auto"/>
        <w:left w:val="none" w:sz="0" w:space="0" w:color="auto"/>
        <w:bottom w:val="none" w:sz="0" w:space="0" w:color="auto"/>
        <w:right w:val="none" w:sz="0" w:space="0" w:color="auto"/>
      </w:divBdr>
    </w:div>
    <w:div w:id="212325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jikas@commoncause.org" TargetMode="External"/><Relationship Id="rId3" Type="http://schemas.openxmlformats.org/officeDocument/2006/relationships/settings" Target="settings.xml"/><Relationship Id="rId7" Type="http://schemas.openxmlformats.org/officeDocument/2006/relationships/hyperlink" Target="mailto:media@aclu-m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lu-md.org/press-releases/court-schedules-first-hearing-in-doj-lawsuit-demanding-maryland-voter-dat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ommoncause.org/maryland/press/civil-rights-groups-maryland-voters-file-motion-to-protect-voters-privacy/" TargetMode="External"/><Relationship Id="rId4" Type="http://schemas.openxmlformats.org/officeDocument/2006/relationships/webSettings" Target="webSettings.xml"/><Relationship Id="rId9" Type="http://schemas.openxmlformats.org/officeDocument/2006/relationships/hyperlink" Target="https://www.commoncause.org/maryland/press/civil-rights-groups-maryland-voters-file-motion-to-protect-voter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Tyler</dc:creator>
  <cp:keywords/>
  <dc:description/>
  <cp:lastModifiedBy>Nehemiah Bester</cp:lastModifiedBy>
  <cp:revision>4</cp:revision>
  <dcterms:created xsi:type="dcterms:W3CDTF">2026-06-08T14:43:00Z</dcterms:created>
  <dcterms:modified xsi:type="dcterms:W3CDTF">2026-06-08T15:00:00Z</dcterms:modified>
</cp:coreProperties>
</file>